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A5B46">
      <w:pPr>
        <w:widowControl w:val="0"/>
        <w:kinsoku/>
        <w:autoSpaceDE/>
        <w:autoSpaceDN/>
        <w:adjustRightInd/>
        <w:snapToGrid/>
        <w:spacing w:line="240" w:lineRule="auto"/>
        <w:jc w:val="center"/>
        <w:textAlignment w:val="auto"/>
        <w:rPr>
          <w:rFonts w:hint="eastAsia" w:ascii="宋体" w:hAnsi="宋体" w:eastAsia="宋体" w:cs="宋体"/>
          <w:b/>
          <w:snapToGrid/>
          <w:kern w:val="2"/>
          <w:sz w:val="40"/>
          <w:szCs w:val="40"/>
          <w:lang w:val="en-US" w:eastAsia="zh-CN" w:bidi="ar-SA"/>
        </w:rPr>
      </w:pPr>
      <w:r>
        <w:rPr>
          <w:rFonts w:hint="eastAsia" w:ascii="宋体" w:hAnsi="宋体" w:eastAsia="宋体" w:cs="宋体"/>
          <w:b/>
          <w:snapToGrid/>
          <w:kern w:val="2"/>
          <w:sz w:val="40"/>
          <w:szCs w:val="40"/>
          <w:lang w:val="en-US" w:eastAsia="zh-CN" w:bidi="ar-SA"/>
        </w:rPr>
        <w:t>咸宁市建筑材料产品质量监督抽查实施细则</w:t>
      </w:r>
    </w:p>
    <w:p w14:paraId="54051CF5">
      <w:pPr>
        <w:widowControl w:val="0"/>
        <w:kinsoku/>
        <w:autoSpaceDE/>
        <w:autoSpaceDN/>
        <w:adjustRightInd/>
        <w:snapToGrid/>
        <w:spacing w:line="240" w:lineRule="auto"/>
        <w:jc w:val="center"/>
        <w:textAlignment w:val="auto"/>
        <w:rPr>
          <w:rFonts w:hint="eastAsia" w:ascii="黑体" w:hAnsi="黑体" w:eastAsia="黑体" w:cs="黑体"/>
          <w:b/>
          <w:bCs/>
          <w:spacing w:val="6"/>
          <w:sz w:val="32"/>
          <w:szCs w:val="32"/>
          <w:lang w:eastAsia="zh-CN"/>
        </w:rPr>
      </w:pPr>
      <w:r>
        <w:rPr>
          <w:rFonts w:hint="eastAsia" w:ascii="宋体" w:hAnsi="宋体" w:eastAsia="宋体" w:cs="宋体"/>
          <w:b/>
          <w:snapToGrid/>
          <w:kern w:val="2"/>
          <w:sz w:val="40"/>
          <w:szCs w:val="40"/>
          <w:lang w:val="en-US" w:eastAsia="zh-CN" w:bidi="ar-SA"/>
        </w:rPr>
        <w:t>（2026年版）</w:t>
      </w:r>
    </w:p>
    <w:p w14:paraId="0281839D">
      <w:pPr>
        <w:keepNext w:val="0"/>
        <w:keepLines w:val="0"/>
        <w:pageBreakBefore w:val="0"/>
        <w:widowControl/>
        <w:kinsoku w:val="0"/>
        <w:wordWrap/>
        <w:overflowPunct/>
        <w:topLinePunct w:val="0"/>
        <w:autoSpaceDE w:val="0"/>
        <w:autoSpaceDN w:val="0"/>
        <w:bidi w:val="0"/>
        <w:adjustRightInd w:val="0"/>
        <w:snapToGrid w:val="0"/>
        <w:spacing w:before="65" w:line="560" w:lineRule="exact"/>
        <w:ind w:left="38"/>
        <w:textAlignment w:val="baseline"/>
        <w:rPr>
          <w:rFonts w:hint="eastAsia" w:ascii="宋体" w:hAnsi="宋体" w:eastAsia="宋体" w:cs="宋体"/>
          <w:b/>
          <w:bCs/>
          <w:sz w:val="28"/>
          <w:szCs w:val="28"/>
        </w:rPr>
      </w:pPr>
      <w:r>
        <w:rPr>
          <w:rFonts w:hint="eastAsia" w:ascii="宋体" w:hAnsi="宋体" w:eastAsia="宋体" w:cs="宋体"/>
          <w:b/>
          <w:bCs/>
          <w:spacing w:val="4"/>
          <w:sz w:val="28"/>
          <w:szCs w:val="28"/>
        </w:rPr>
        <w:t>1</w:t>
      </w:r>
      <w:r>
        <w:rPr>
          <w:rFonts w:hint="eastAsia" w:ascii="宋体" w:hAnsi="宋体" w:eastAsia="宋体" w:cs="宋体"/>
          <w:b/>
          <w:bCs/>
          <w:spacing w:val="3"/>
          <w:sz w:val="28"/>
          <w:szCs w:val="28"/>
        </w:rPr>
        <w:t xml:space="preserve"> 抽样方法</w:t>
      </w:r>
    </w:p>
    <w:p w14:paraId="219D9A5D">
      <w:pPr>
        <w:keepNext w:val="0"/>
        <w:keepLines w:val="0"/>
        <w:pageBreakBefore w:val="0"/>
        <w:widowControl/>
        <w:kinsoku w:val="0"/>
        <w:wordWrap/>
        <w:overflowPunct/>
        <w:topLinePunct w:val="0"/>
        <w:autoSpaceDE w:val="0"/>
        <w:autoSpaceDN w:val="0"/>
        <w:bidi w:val="0"/>
        <w:adjustRightInd w:val="0"/>
        <w:snapToGrid w:val="0"/>
        <w:spacing w:before="190" w:line="560" w:lineRule="exact"/>
        <w:ind w:firstLine="624" w:firstLineChars="200"/>
        <w:textAlignment w:val="baseline"/>
        <w:rPr>
          <w:rFonts w:hint="eastAsia" w:ascii="宋体" w:hAnsi="宋体" w:eastAsia="宋体" w:cs="宋体"/>
          <w:spacing w:val="13"/>
          <w:position w:val="18"/>
          <w:sz w:val="28"/>
          <w:szCs w:val="28"/>
        </w:rPr>
      </w:pPr>
      <w:r>
        <w:rPr>
          <w:rFonts w:hint="eastAsia" w:ascii="宋体" w:hAnsi="宋体" w:eastAsia="宋体" w:cs="宋体"/>
          <w:spacing w:val="16"/>
          <w:position w:val="18"/>
          <w:sz w:val="28"/>
          <w:szCs w:val="28"/>
        </w:rPr>
        <w:t>以</w:t>
      </w:r>
      <w:r>
        <w:rPr>
          <w:rFonts w:hint="eastAsia" w:ascii="宋体" w:hAnsi="宋体" w:eastAsia="宋体" w:cs="宋体"/>
          <w:spacing w:val="13"/>
          <w:position w:val="18"/>
          <w:sz w:val="28"/>
          <w:szCs w:val="28"/>
        </w:rPr>
        <w:t>随</w:t>
      </w:r>
      <w:r>
        <w:rPr>
          <w:rFonts w:hint="eastAsia" w:ascii="宋体" w:hAnsi="宋体" w:eastAsia="宋体" w:cs="宋体"/>
          <w:spacing w:val="8"/>
          <w:position w:val="18"/>
          <w:sz w:val="28"/>
          <w:szCs w:val="28"/>
        </w:rPr>
        <w:t>机抽样的方式在被抽样生产者、销售者的待销产品中抽取</w:t>
      </w:r>
      <w:r>
        <w:rPr>
          <w:rFonts w:hint="eastAsia" w:ascii="宋体" w:hAnsi="宋体" w:eastAsia="宋体" w:cs="宋体"/>
          <w:spacing w:val="8"/>
          <w:position w:val="18"/>
          <w:sz w:val="28"/>
          <w:szCs w:val="28"/>
          <w:lang w:eastAsia="zh-CN"/>
        </w:rPr>
        <w:t>。</w:t>
      </w:r>
      <w:r>
        <w:rPr>
          <w:rFonts w:hint="eastAsia" w:ascii="宋体" w:hAnsi="宋体" w:eastAsia="宋体" w:cs="宋体"/>
          <w:spacing w:val="13"/>
          <w:position w:val="18"/>
          <w:sz w:val="28"/>
          <w:szCs w:val="28"/>
        </w:rPr>
        <w:t>随机数一般可使用随机数表等方法产生。</w:t>
      </w:r>
      <w:r>
        <w:rPr>
          <w:rFonts w:hint="eastAsia" w:ascii="宋体" w:hAnsi="宋体" w:eastAsia="宋体" w:cs="宋体"/>
          <w:spacing w:val="13"/>
          <w:position w:val="18"/>
          <w:sz w:val="28"/>
          <w:szCs w:val="28"/>
          <w:lang w:val="en-US" w:eastAsia="zh-CN"/>
        </w:rPr>
        <w:t>蒸压加气混凝土砌块22块（15块为检验样，7块为备用样），</w:t>
      </w:r>
      <w:r>
        <w:rPr>
          <w:rFonts w:hint="eastAsia" w:ascii="宋体" w:hAnsi="宋体" w:eastAsia="宋体" w:cs="宋体"/>
          <w:spacing w:val="13"/>
          <w:position w:val="18"/>
          <w:sz w:val="28"/>
          <w:szCs w:val="28"/>
        </w:rPr>
        <w:t>抽样基数满足抽样数量即可。</w:t>
      </w:r>
    </w:p>
    <w:p w14:paraId="3BBD4848">
      <w:pPr>
        <w:spacing w:before="192" w:line="230" w:lineRule="auto"/>
        <w:ind w:left="18"/>
        <w:rPr>
          <w:rFonts w:hint="eastAsia" w:ascii="宋体" w:hAnsi="宋体" w:eastAsia="宋体" w:cs="宋体"/>
          <w:b/>
          <w:bCs/>
          <w:sz w:val="28"/>
          <w:szCs w:val="28"/>
        </w:rPr>
      </w:pPr>
      <w:r>
        <w:rPr>
          <w:rFonts w:hint="eastAsia" w:ascii="宋体" w:hAnsi="宋体" w:eastAsia="宋体" w:cs="宋体"/>
          <w:b/>
          <w:bCs/>
          <w:spacing w:val="6"/>
          <w:sz w:val="28"/>
          <w:szCs w:val="28"/>
        </w:rPr>
        <w:t>2 检验依据</w:t>
      </w:r>
    </w:p>
    <w:p w14:paraId="64112029">
      <w:pPr>
        <w:snapToGrid w:val="0"/>
        <w:spacing w:line="440" w:lineRule="exact"/>
        <w:jc w:val="center"/>
        <w:rPr>
          <w:rFonts w:hint="eastAsia" w:ascii="宋体" w:hAnsi="宋体" w:eastAsia="宋体" w:cs="宋体"/>
          <w:sz w:val="28"/>
          <w:szCs w:val="28"/>
        </w:rPr>
      </w:pPr>
      <w:r>
        <w:rPr>
          <w:rFonts w:hint="eastAsia" w:ascii="宋体" w:hAnsi="宋体" w:eastAsia="宋体" w:cs="宋体"/>
          <w:sz w:val="28"/>
          <w:szCs w:val="28"/>
        </w:rPr>
        <w:t>表</w:t>
      </w:r>
      <w:r>
        <w:rPr>
          <w:rFonts w:hint="eastAsia" w:ascii="宋体" w:hAnsi="宋体" w:eastAsia="宋体" w:cs="宋体"/>
          <w:sz w:val="28"/>
          <w:szCs w:val="28"/>
          <w:lang w:val="en-US" w:eastAsia="zh-CN"/>
        </w:rPr>
        <w:t>1</w:t>
      </w:r>
      <w:r>
        <w:rPr>
          <w:rFonts w:hint="eastAsia" w:ascii="宋体" w:hAnsi="宋体" w:eastAsia="宋体" w:cs="宋体"/>
          <w:sz w:val="28"/>
          <w:szCs w:val="28"/>
        </w:rPr>
        <w:t xml:space="preserve"> </w:t>
      </w:r>
      <w:r>
        <w:rPr>
          <w:rFonts w:hint="eastAsia" w:ascii="宋体" w:hAnsi="宋体" w:eastAsia="宋体" w:cs="宋体"/>
          <w:sz w:val="28"/>
          <w:szCs w:val="28"/>
          <w:lang w:eastAsia="zh-CN"/>
        </w:rPr>
        <w:t>蒸压加气混凝土砌块</w:t>
      </w:r>
      <w:r>
        <w:rPr>
          <w:rFonts w:hint="eastAsia" w:ascii="宋体" w:hAnsi="宋体" w:eastAsia="宋体" w:cs="宋体"/>
          <w:sz w:val="28"/>
          <w:szCs w:val="28"/>
        </w:rPr>
        <w:t>产品检验项目、依据及方法</w:t>
      </w:r>
    </w:p>
    <w:tbl>
      <w:tblPr>
        <w:tblStyle w:val="2"/>
        <w:tblW w:w="8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2728"/>
        <w:gridCol w:w="2672"/>
        <w:gridCol w:w="2672"/>
      </w:tblGrid>
      <w:tr w14:paraId="0FB1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blHeader/>
          <w:jc w:val="center"/>
        </w:trPr>
        <w:tc>
          <w:tcPr>
            <w:tcW w:w="857" w:type="dxa"/>
            <w:vMerge w:val="restart"/>
            <w:noWrap w:val="0"/>
            <w:vAlign w:val="center"/>
          </w:tcPr>
          <w:p w14:paraId="69F74758">
            <w:pPr>
              <w:adjustRightInd w:val="0"/>
              <w:spacing w:line="324" w:lineRule="auto"/>
              <w:jc w:val="center"/>
              <w:rPr>
                <w:rFonts w:eastAsia="宋体"/>
                <w:b/>
                <w:color w:val="000000"/>
                <w:sz w:val="24"/>
                <w:szCs w:val="24"/>
              </w:rPr>
            </w:pPr>
            <w:r>
              <w:rPr>
                <w:rFonts w:hAnsi="宋体" w:eastAsia="宋体"/>
                <w:b/>
                <w:color w:val="000000"/>
                <w:sz w:val="24"/>
                <w:szCs w:val="24"/>
              </w:rPr>
              <w:t>序号</w:t>
            </w:r>
          </w:p>
        </w:tc>
        <w:tc>
          <w:tcPr>
            <w:tcW w:w="2728" w:type="dxa"/>
            <w:noWrap w:val="0"/>
            <w:vAlign w:val="center"/>
          </w:tcPr>
          <w:p w14:paraId="62AE3BC1">
            <w:pPr>
              <w:adjustRightInd w:val="0"/>
              <w:spacing w:line="324" w:lineRule="auto"/>
              <w:jc w:val="center"/>
              <w:rPr>
                <w:rFonts w:eastAsia="宋体"/>
                <w:b/>
                <w:color w:val="000000"/>
                <w:sz w:val="24"/>
                <w:szCs w:val="24"/>
              </w:rPr>
            </w:pPr>
            <w:r>
              <w:rPr>
                <w:rFonts w:hAnsi="宋体" w:eastAsia="宋体"/>
                <w:b/>
                <w:color w:val="000000"/>
                <w:sz w:val="24"/>
                <w:szCs w:val="24"/>
              </w:rPr>
              <w:t>检验项目</w:t>
            </w:r>
          </w:p>
        </w:tc>
        <w:tc>
          <w:tcPr>
            <w:tcW w:w="2672" w:type="dxa"/>
            <w:noWrap w:val="0"/>
            <w:vAlign w:val="center"/>
          </w:tcPr>
          <w:p w14:paraId="5B61A27C">
            <w:pPr>
              <w:adjustRightInd w:val="0"/>
              <w:spacing w:line="324" w:lineRule="auto"/>
              <w:jc w:val="center"/>
              <w:rPr>
                <w:rFonts w:hAnsi="宋体" w:eastAsia="宋体"/>
                <w:b/>
                <w:color w:val="000000"/>
                <w:sz w:val="24"/>
                <w:szCs w:val="24"/>
              </w:rPr>
            </w:pPr>
            <w:r>
              <w:rPr>
                <w:rFonts w:hint="eastAsia" w:hAnsi="宋体" w:eastAsia="宋体"/>
                <w:b/>
                <w:color w:val="000000"/>
                <w:sz w:val="24"/>
                <w:szCs w:val="24"/>
              </w:rPr>
              <w:t>检验依据</w:t>
            </w:r>
          </w:p>
        </w:tc>
        <w:tc>
          <w:tcPr>
            <w:tcW w:w="2672" w:type="dxa"/>
            <w:noWrap w:val="0"/>
            <w:vAlign w:val="center"/>
          </w:tcPr>
          <w:p w14:paraId="46BB4931">
            <w:pPr>
              <w:adjustRightInd w:val="0"/>
              <w:spacing w:line="324" w:lineRule="auto"/>
              <w:jc w:val="center"/>
              <w:rPr>
                <w:rFonts w:eastAsia="宋体"/>
                <w:b/>
                <w:color w:val="000000"/>
                <w:sz w:val="24"/>
                <w:szCs w:val="24"/>
              </w:rPr>
            </w:pPr>
            <w:r>
              <w:rPr>
                <w:rFonts w:hAnsi="宋体" w:eastAsia="宋体"/>
                <w:b/>
                <w:color w:val="000000"/>
                <w:sz w:val="24"/>
                <w:szCs w:val="24"/>
              </w:rPr>
              <w:t>检</w:t>
            </w:r>
            <w:r>
              <w:rPr>
                <w:rFonts w:hint="eastAsia" w:hAnsi="宋体" w:eastAsia="宋体"/>
                <w:b/>
                <w:color w:val="000000"/>
                <w:sz w:val="24"/>
                <w:szCs w:val="24"/>
                <w:lang w:eastAsia="zh-CN"/>
              </w:rPr>
              <w:t>验</w:t>
            </w:r>
            <w:r>
              <w:rPr>
                <w:rFonts w:hAnsi="宋体" w:eastAsia="宋体"/>
                <w:b/>
                <w:color w:val="000000"/>
                <w:sz w:val="24"/>
                <w:szCs w:val="24"/>
              </w:rPr>
              <w:t>方法</w:t>
            </w:r>
          </w:p>
        </w:tc>
      </w:tr>
      <w:tr w14:paraId="1839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blHeader/>
          <w:jc w:val="center"/>
        </w:trPr>
        <w:tc>
          <w:tcPr>
            <w:tcW w:w="857" w:type="dxa"/>
            <w:noWrap w:val="0"/>
            <w:vAlign w:val="bottom"/>
          </w:tcPr>
          <w:p w14:paraId="5645BB4C">
            <w:pPr>
              <w:adjustRightInd w:val="0"/>
              <w:spacing w:line="324" w:lineRule="auto"/>
              <w:jc w:val="center"/>
              <w:rPr>
                <w:rFonts w:eastAsia="宋体"/>
                <w:color w:val="000000"/>
                <w:sz w:val="24"/>
                <w:szCs w:val="24"/>
              </w:rPr>
            </w:pPr>
            <w:r>
              <w:rPr>
                <w:rFonts w:hint="eastAsia" w:eastAsia="宋体"/>
                <w:color w:val="000000"/>
                <w:sz w:val="24"/>
                <w:szCs w:val="24"/>
              </w:rPr>
              <w:t>1</w:t>
            </w:r>
          </w:p>
        </w:tc>
        <w:tc>
          <w:tcPr>
            <w:tcW w:w="2728" w:type="dxa"/>
            <w:noWrap w:val="0"/>
            <w:vAlign w:val="bottom"/>
          </w:tcPr>
          <w:p w14:paraId="6DBBFFA7">
            <w:pPr>
              <w:adjustRightInd w:val="0"/>
              <w:spacing w:line="324" w:lineRule="auto"/>
              <w:jc w:val="center"/>
              <w:rPr>
                <w:rFonts w:hint="eastAsia" w:hAnsi="宋体"/>
                <w:color w:val="000000"/>
                <w:sz w:val="24"/>
                <w:szCs w:val="24"/>
                <w:lang w:eastAsia="zh-CN"/>
              </w:rPr>
            </w:pPr>
            <w:r>
              <w:rPr>
                <w:rFonts w:hint="eastAsia"/>
                <w:color w:val="000000"/>
                <w:sz w:val="24"/>
                <w:szCs w:val="24"/>
                <w:lang w:eastAsia="zh-CN"/>
              </w:rPr>
              <w:t>抗压强度</w:t>
            </w:r>
          </w:p>
        </w:tc>
        <w:tc>
          <w:tcPr>
            <w:tcW w:w="2672" w:type="dxa"/>
            <w:noWrap w:val="0"/>
            <w:vAlign w:val="bottom"/>
          </w:tcPr>
          <w:p w14:paraId="7D6E8FEB">
            <w:pPr>
              <w:pStyle w:val="6"/>
              <w:adjustRightInd w:val="0"/>
              <w:snapToGrid/>
              <w:spacing w:line="324" w:lineRule="auto"/>
              <w:jc w:val="center"/>
              <w:rPr>
                <w:rFonts w:ascii="Times New Roman" w:hAnsi="Times New Roman" w:eastAsia="宋体" w:cs="Times New Roman"/>
                <w:snapToGrid w:val="0"/>
                <w:color w:val="000000"/>
                <w:kern w:val="0"/>
                <w:sz w:val="24"/>
                <w:szCs w:val="24"/>
              </w:rPr>
            </w:pPr>
            <w:r>
              <w:rPr>
                <w:rFonts w:hint="eastAsia" w:ascii="Times New Roman" w:hAnsi="Times New Roman" w:eastAsia="宋体" w:cs="Times New Roman"/>
                <w:snapToGrid w:val="0"/>
                <w:color w:val="000000"/>
                <w:kern w:val="0"/>
                <w:sz w:val="24"/>
                <w:szCs w:val="24"/>
              </w:rPr>
              <w:t>GB/T 11968—2020</w:t>
            </w:r>
          </w:p>
        </w:tc>
        <w:tc>
          <w:tcPr>
            <w:tcW w:w="2672" w:type="dxa"/>
            <w:noWrap w:val="0"/>
            <w:vAlign w:val="bottom"/>
          </w:tcPr>
          <w:p w14:paraId="7E720323">
            <w:pPr>
              <w:pStyle w:val="6"/>
              <w:adjustRightInd w:val="0"/>
              <w:snapToGrid/>
              <w:spacing w:line="324" w:lineRule="auto"/>
              <w:jc w:val="center"/>
              <w:rPr>
                <w:rFonts w:ascii="Times New Roman" w:hAnsi="Times New Roman" w:eastAsia="宋体" w:cs="Times New Roman"/>
                <w:snapToGrid w:val="0"/>
                <w:color w:val="000000"/>
                <w:kern w:val="0"/>
                <w:sz w:val="24"/>
                <w:szCs w:val="24"/>
              </w:rPr>
            </w:pPr>
            <w:r>
              <w:rPr>
                <w:rFonts w:ascii="Times New Roman" w:hAnsi="Times New Roman" w:eastAsia="宋体" w:cs="Times New Roman"/>
                <w:snapToGrid w:val="0"/>
                <w:color w:val="000000"/>
                <w:kern w:val="0"/>
                <w:sz w:val="24"/>
                <w:szCs w:val="24"/>
              </w:rPr>
              <w:t>GB</w:t>
            </w:r>
            <w:r>
              <w:rPr>
                <w:rFonts w:hint="eastAsia" w:ascii="Times New Roman" w:hAnsi="Times New Roman" w:eastAsia="宋体" w:cs="Times New Roman"/>
                <w:snapToGrid w:val="0"/>
                <w:color w:val="000000"/>
                <w:kern w:val="0"/>
                <w:sz w:val="24"/>
                <w:szCs w:val="24"/>
                <w:lang w:val="en-US" w:eastAsia="zh-CN"/>
              </w:rPr>
              <w:t>/T 11969-2020</w:t>
            </w:r>
          </w:p>
        </w:tc>
      </w:tr>
      <w:tr w14:paraId="5EB2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blHeader/>
          <w:jc w:val="center"/>
        </w:trPr>
        <w:tc>
          <w:tcPr>
            <w:tcW w:w="857" w:type="dxa"/>
            <w:noWrap w:val="0"/>
            <w:vAlign w:val="center"/>
          </w:tcPr>
          <w:p w14:paraId="77051CCA">
            <w:pPr>
              <w:adjustRightInd w:val="0"/>
              <w:spacing w:line="324" w:lineRule="auto"/>
              <w:jc w:val="center"/>
              <w:rPr>
                <w:rFonts w:hint="eastAsia" w:eastAsia="宋体"/>
                <w:color w:val="000000"/>
                <w:sz w:val="24"/>
                <w:szCs w:val="24"/>
                <w:lang w:val="en-US" w:eastAsia="zh-CN"/>
              </w:rPr>
            </w:pPr>
            <w:r>
              <w:rPr>
                <w:rFonts w:hint="eastAsia" w:eastAsia="宋体"/>
                <w:color w:val="000000"/>
                <w:sz w:val="24"/>
                <w:szCs w:val="24"/>
                <w:lang w:val="en-US" w:eastAsia="zh-CN"/>
              </w:rPr>
              <w:t>2</w:t>
            </w:r>
          </w:p>
        </w:tc>
        <w:tc>
          <w:tcPr>
            <w:tcW w:w="2728" w:type="dxa"/>
            <w:noWrap w:val="0"/>
            <w:vAlign w:val="bottom"/>
          </w:tcPr>
          <w:p w14:paraId="6CC82535">
            <w:pPr>
              <w:adjustRightInd w:val="0"/>
              <w:spacing w:line="324" w:lineRule="auto"/>
              <w:jc w:val="center"/>
              <w:rPr>
                <w:rFonts w:hint="eastAsia"/>
                <w:color w:val="000000"/>
                <w:sz w:val="24"/>
                <w:szCs w:val="24"/>
                <w:lang w:eastAsia="zh-CN"/>
              </w:rPr>
            </w:pPr>
            <w:r>
              <w:rPr>
                <w:rFonts w:hint="eastAsia" w:hAnsi="宋体"/>
                <w:color w:val="000000"/>
                <w:sz w:val="24"/>
                <w:szCs w:val="24"/>
                <w:lang w:eastAsia="zh-CN"/>
              </w:rPr>
              <w:t>平均干密度</w:t>
            </w:r>
          </w:p>
        </w:tc>
        <w:tc>
          <w:tcPr>
            <w:tcW w:w="2672" w:type="dxa"/>
            <w:noWrap w:val="0"/>
            <w:vAlign w:val="bottom"/>
          </w:tcPr>
          <w:p w14:paraId="272E72E2">
            <w:pPr>
              <w:pStyle w:val="6"/>
              <w:adjustRightInd w:val="0"/>
              <w:snapToGrid/>
              <w:spacing w:line="324" w:lineRule="auto"/>
              <w:jc w:val="center"/>
              <w:rPr>
                <w:rFonts w:hint="eastAsia" w:ascii="Times New Roman" w:hAnsi="Times New Roman" w:eastAsia="宋体" w:cs="Times New Roman"/>
                <w:snapToGrid w:val="0"/>
                <w:color w:val="000000"/>
                <w:kern w:val="0"/>
                <w:sz w:val="24"/>
                <w:szCs w:val="24"/>
              </w:rPr>
            </w:pPr>
            <w:r>
              <w:rPr>
                <w:rFonts w:hint="eastAsia" w:ascii="Times New Roman" w:hAnsi="Times New Roman" w:eastAsia="宋体" w:cs="Times New Roman"/>
                <w:snapToGrid w:val="0"/>
                <w:color w:val="000000"/>
                <w:kern w:val="0"/>
                <w:sz w:val="24"/>
                <w:szCs w:val="24"/>
              </w:rPr>
              <w:t>GB/T 11968—2020</w:t>
            </w:r>
          </w:p>
        </w:tc>
        <w:tc>
          <w:tcPr>
            <w:tcW w:w="2672" w:type="dxa"/>
            <w:noWrap w:val="0"/>
            <w:vAlign w:val="bottom"/>
          </w:tcPr>
          <w:p w14:paraId="1B576341">
            <w:pPr>
              <w:pStyle w:val="6"/>
              <w:adjustRightInd w:val="0"/>
              <w:snapToGrid/>
              <w:spacing w:line="324" w:lineRule="auto"/>
              <w:jc w:val="center"/>
              <w:rPr>
                <w:rFonts w:hint="eastAsia" w:ascii="Times New Roman" w:hAnsi="Times New Roman" w:eastAsia="宋体" w:cs="Times New Roman"/>
                <w:snapToGrid w:val="0"/>
                <w:color w:val="000000"/>
                <w:kern w:val="0"/>
                <w:sz w:val="24"/>
                <w:szCs w:val="24"/>
              </w:rPr>
            </w:pPr>
            <w:r>
              <w:rPr>
                <w:rFonts w:ascii="Times New Roman" w:hAnsi="Times New Roman" w:eastAsia="宋体" w:cs="Times New Roman"/>
                <w:snapToGrid w:val="0"/>
                <w:color w:val="000000"/>
                <w:kern w:val="0"/>
                <w:sz w:val="24"/>
                <w:szCs w:val="24"/>
              </w:rPr>
              <w:t>GB</w:t>
            </w:r>
            <w:r>
              <w:rPr>
                <w:rFonts w:hint="eastAsia" w:ascii="Times New Roman" w:hAnsi="Times New Roman" w:eastAsia="宋体" w:cs="Times New Roman"/>
                <w:snapToGrid w:val="0"/>
                <w:color w:val="000000"/>
                <w:kern w:val="0"/>
                <w:sz w:val="24"/>
                <w:szCs w:val="24"/>
                <w:lang w:val="en-US" w:eastAsia="zh-CN"/>
              </w:rPr>
              <w:t>/T 11969-2020</w:t>
            </w:r>
          </w:p>
        </w:tc>
      </w:tr>
      <w:tr w14:paraId="4918C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blHeader/>
          <w:jc w:val="center"/>
        </w:trPr>
        <w:tc>
          <w:tcPr>
            <w:tcW w:w="857" w:type="dxa"/>
            <w:noWrap w:val="0"/>
            <w:vAlign w:val="bottom"/>
          </w:tcPr>
          <w:p w14:paraId="0DDFC8EE">
            <w:pPr>
              <w:adjustRightInd w:val="0"/>
              <w:spacing w:line="324" w:lineRule="auto"/>
              <w:jc w:val="center"/>
              <w:rPr>
                <w:rFonts w:hint="eastAsia" w:eastAsia="宋体"/>
                <w:color w:val="000000"/>
                <w:sz w:val="24"/>
                <w:szCs w:val="24"/>
                <w:lang w:val="en-US" w:eastAsia="zh-CN"/>
              </w:rPr>
            </w:pPr>
            <w:r>
              <w:rPr>
                <w:rFonts w:hint="eastAsia"/>
                <w:color w:val="000000"/>
                <w:sz w:val="24"/>
                <w:szCs w:val="24"/>
                <w:lang w:val="en-US" w:eastAsia="zh-CN"/>
              </w:rPr>
              <w:t>3</w:t>
            </w:r>
          </w:p>
        </w:tc>
        <w:tc>
          <w:tcPr>
            <w:tcW w:w="2728" w:type="dxa"/>
            <w:noWrap w:val="0"/>
            <w:vAlign w:val="bottom"/>
          </w:tcPr>
          <w:p w14:paraId="28B7A347">
            <w:pPr>
              <w:adjustRightInd w:val="0"/>
              <w:spacing w:line="324" w:lineRule="auto"/>
              <w:jc w:val="center"/>
              <w:rPr>
                <w:rFonts w:hint="eastAsia" w:hAnsi="宋体"/>
                <w:color w:val="000000"/>
                <w:sz w:val="24"/>
                <w:szCs w:val="24"/>
                <w:lang w:eastAsia="zh-CN"/>
              </w:rPr>
            </w:pPr>
            <w:r>
              <w:rPr>
                <w:rFonts w:hint="eastAsia"/>
                <w:color w:val="000000"/>
                <w:sz w:val="24"/>
                <w:szCs w:val="24"/>
                <w:lang w:eastAsia="zh-CN"/>
              </w:rPr>
              <w:t>导热系数</w:t>
            </w:r>
          </w:p>
        </w:tc>
        <w:tc>
          <w:tcPr>
            <w:tcW w:w="2672" w:type="dxa"/>
            <w:noWrap w:val="0"/>
            <w:vAlign w:val="bottom"/>
          </w:tcPr>
          <w:p w14:paraId="699A2B5D">
            <w:pPr>
              <w:adjustRightInd w:val="0"/>
              <w:snapToGrid/>
              <w:spacing w:line="324" w:lineRule="auto"/>
              <w:jc w:val="center"/>
              <w:rPr>
                <w:rFonts w:ascii="Times New Roman" w:hAnsi="Times New Roman" w:eastAsia="宋体" w:cs="Times New Roman"/>
                <w:snapToGrid w:val="0"/>
                <w:color w:val="000000"/>
                <w:kern w:val="0"/>
                <w:sz w:val="24"/>
                <w:szCs w:val="24"/>
              </w:rPr>
            </w:pPr>
            <w:r>
              <w:rPr>
                <w:rFonts w:hint="eastAsia" w:ascii="Times New Roman" w:hAnsi="Times New Roman" w:eastAsia="宋体" w:cs="Times New Roman"/>
                <w:snapToGrid w:val="0"/>
                <w:color w:val="000000"/>
                <w:kern w:val="0"/>
                <w:sz w:val="24"/>
                <w:szCs w:val="24"/>
              </w:rPr>
              <w:t>GB/T 11968—2020</w:t>
            </w:r>
          </w:p>
        </w:tc>
        <w:tc>
          <w:tcPr>
            <w:tcW w:w="2672" w:type="dxa"/>
            <w:noWrap w:val="0"/>
            <w:vAlign w:val="bottom"/>
          </w:tcPr>
          <w:p w14:paraId="29B4D601">
            <w:pPr>
              <w:adjustRightInd w:val="0"/>
              <w:snapToGrid/>
              <w:spacing w:line="324" w:lineRule="auto"/>
              <w:jc w:val="center"/>
              <w:rPr>
                <w:rFonts w:ascii="Times New Roman" w:hAnsi="Times New Roman" w:eastAsia="宋体" w:cs="Times New Roman"/>
                <w:sz w:val="24"/>
                <w:szCs w:val="24"/>
              </w:rPr>
            </w:pPr>
            <w:r>
              <w:rPr>
                <w:rFonts w:hint="eastAsia" w:ascii="Times New Roman" w:hAnsi="Times New Roman" w:eastAsia="宋体" w:cs="Times New Roman"/>
                <w:snapToGrid w:val="0"/>
                <w:color w:val="000000"/>
                <w:kern w:val="0"/>
                <w:sz w:val="24"/>
                <w:szCs w:val="24"/>
              </w:rPr>
              <w:t>GB/T 10294—2008</w:t>
            </w:r>
          </w:p>
        </w:tc>
      </w:tr>
    </w:tbl>
    <w:p w14:paraId="6D99D1A0">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632" w:firstLineChars="200"/>
        <w:textAlignment w:val="baseline"/>
        <w:rPr>
          <w:rFonts w:ascii="宋体" w:hAnsi="宋体" w:eastAsia="宋体" w:cs="宋体"/>
          <w:spacing w:val="9"/>
          <w:sz w:val="28"/>
          <w:szCs w:val="28"/>
        </w:rPr>
      </w:pPr>
      <w:r>
        <w:rPr>
          <w:rFonts w:ascii="宋体" w:hAnsi="宋体" w:eastAsia="宋体" w:cs="宋体"/>
          <w:spacing w:val="18"/>
          <w:sz w:val="28"/>
          <w:szCs w:val="28"/>
        </w:rPr>
        <w:t>执</w:t>
      </w:r>
      <w:r>
        <w:rPr>
          <w:rFonts w:ascii="宋体" w:hAnsi="宋体" w:eastAsia="宋体" w:cs="宋体"/>
          <w:spacing w:val="12"/>
          <w:sz w:val="28"/>
          <w:szCs w:val="28"/>
        </w:rPr>
        <w:t>行</w:t>
      </w:r>
      <w:r>
        <w:rPr>
          <w:rFonts w:ascii="宋体" w:hAnsi="宋体" w:eastAsia="宋体" w:cs="宋体"/>
          <w:spacing w:val="9"/>
          <w:sz w:val="28"/>
          <w:szCs w:val="28"/>
        </w:rPr>
        <w:t>企业标准、团体标准、地方标准的产品，检验项目参照上述内容执行。</w:t>
      </w:r>
    </w:p>
    <w:p w14:paraId="03B54FA7">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588" w:firstLineChars="200"/>
        <w:jc w:val="both"/>
        <w:textAlignment w:val="baseline"/>
        <w:rPr>
          <w:rFonts w:ascii="Arial"/>
          <w:sz w:val="28"/>
          <w:szCs w:val="28"/>
        </w:rPr>
      </w:pPr>
      <w:r>
        <w:rPr>
          <w:rFonts w:ascii="宋体" w:hAnsi="宋体" w:eastAsia="宋体" w:cs="宋体"/>
          <w:spacing w:val="7"/>
          <w:sz w:val="28"/>
          <w:szCs w:val="28"/>
        </w:rPr>
        <w:t>凡是注日期的文件，其随后所有的修改单(不包括勘误的内容) 或修订版不适用于本</w:t>
      </w:r>
      <w:r>
        <w:rPr>
          <w:rFonts w:ascii="宋体" w:hAnsi="宋体" w:eastAsia="宋体" w:cs="宋体"/>
          <w:spacing w:val="1"/>
          <w:sz w:val="28"/>
          <w:szCs w:val="28"/>
        </w:rPr>
        <w:t>细</w:t>
      </w:r>
      <w:r>
        <w:rPr>
          <w:rFonts w:ascii="宋体" w:hAnsi="宋体" w:eastAsia="宋体" w:cs="宋体"/>
          <w:spacing w:val="9"/>
          <w:sz w:val="28"/>
          <w:szCs w:val="28"/>
        </w:rPr>
        <w:t>则。</w:t>
      </w:r>
      <w:bookmarkStart w:id="0" w:name="_GoBack"/>
      <w:bookmarkEnd w:id="0"/>
      <w:r>
        <w:rPr>
          <w:rFonts w:ascii="宋体" w:hAnsi="宋体" w:eastAsia="宋体" w:cs="宋体"/>
          <w:spacing w:val="9"/>
          <w:sz w:val="28"/>
          <w:szCs w:val="28"/>
        </w:rPr>
        <w:t>凡是不注日期的文件，其最新版本适用于本细则。</w:t>
      </w:r>
    </w:p>
    <w:p w14:paraId="43EA262C">
      <w:pPr>
        <w:keepNext w:val="0"/>
        <w:keepLines w:val="0"/>
        <w:pageBreakBefore w:val="0"/>
        <w:widowControl/>
        <w:kinsoku w:val="0"/>
        <w:wordWrap/>
        <w:overflowPunct/>
        <w:topLinePunct w:val="0"/>
        <w:autoSpaceDE w:val="0"/>
        <w:autoSpaceDN w:val="0"/>
        <w:bidi w:val="0"/>
        <w:adjustRightInd w:val="0"/>
        <w:snapToGrid w:val="0"/>
        <w:spacing w:before="65" w:line="560" w:lineRule="exact"/>
        <w:ind w:left="22"/>
        <w:textAlignment w:val="baseline"/>
        <w:rPr>
          <w:rFonts w:hint="eastAsia" w:ascii="宋体" w:hAnsi="宋体" w:eastAsia="宋体" w:cs="宋体"/>
          <w:b/>
          <w:bCs/>
          <w:spacing w:val="5"/>
          <w:sz w:val="28"/>
          <w:szCs w:val="28"/>
        </w:rPr>
      </w:pPr>
      <w:r>
        <w:rPr>
          <w:rFonts w:hint="eastAsia" w:ascii="宋体" w:hAnsi="宋体" w:eastAsia="宋体" w:cs="宋体"/>
          <w:b/>
          <w:bCs/>
          <w:spacing w:val="8"/>
          <w:sz w:val="28"/>
          <w:szCs w:val="28"/>
        </w:rPr>
        <w:t>3</w:t>
      </w:r>
      <w:r>
        <w:rPr>
          <w:rFonts w:hint="eastAsia" w:ascii="宋体" w:hAnsi="宋体" w:eastAsia="宋体" w:cs="宋体"/>
          <w:b/>
          <w:bCs/>
          <w:spacing w:val="5"/>
          <w:sz w:val="28"/>
          <w:szCs w:val="28"/>
        </w:rPr>
        <w:t xml:space="preserve"> 判定规则</w:t>
      </w:r>
    </w:p>
    <w:p w14:paraId="25444414">
      <w:pPr>
        <w:keepNext w:val="0"/>
        <w:keepLines w:val="0"/>
        <w:pageBreakBefore w:val="0"/>
        <w:widowControl/>
        <w:kinsoku w:val="0"/>
        <w:wordWrap/>
        <w:overflowPunct/>
        <w:topLinePunct w:val="0"/>
        <w:autoSpaceDE w:val="0"/>
        <w:autoSpaceDN w:val="0"/>
        <w:bidi w:val="0"/>
        <w:adjustRightInd w:val="0"/>
        <w:snapToGrid w:val="0"/>
        <w:spacing w:before="65" w:line="360" w:lineRule="auto"/>
        <w:ind w:left="22"/>
        <w:textAlignment w:val="baseline"/>
        <w:rPr>
          <w:rFonts w:hint="eastAsia" w:ascii="宋体" w:hAnsi="宋体" w:eastAsia="宋体" w:cs="宋体"/>
          <w:sz w:val="28"/>
          <w:szCs w:val="28"/>
          <w:lang w:val="en-US" w:eastAsia="zh-CN"/>
        </w:rPr>
      </w:pPr>
      <w:r>
        <w:rPr>
          <w:rFonts w:hint="eastAsia" w:ascii="宋体" w:hAnsi="宋体" w:eastAsia="宋体" w:cs="宋体"/>
          <w:spacing w:val="-1"/>
          <w:sz w:val="28"/>
          <w:szCs w:val="28"/>
        </w:rPr>
        <w:t>3.1 依据</w:t>
      </w:r>
      <w:r>
        <w:rPr>
          <w:rFonts w:hint="eastAsia" w:ascii="宋体" w:hAnsi="宋体" w:eastAsia="宋体" w:cs="宋体"/>
          <w:sz w:val="28"/>
          <w:szCs w:val="28"/>
        </w:rPr>
        <w:t>标准</w:t>
      </w:r>
      <w:r>
        <w:rPr>
          <w:rFonts w:hint="eastAsia" w:ascii="宋体" w:hAnsi="宋体" w:eastAsia="宋体" w:cs="宋体"/>
          <w:sz w:val="28"/>
          <w:szCs w:val="28"/>
          <w:lang w:val="en-US" w:eastAsia="zh-CN"/>
        </w:rPr>
        <w:t xml:space="preserve">  </w:t>
      </w:r>
    </w:p>
    <w:p w14:paraId="018ACFEC">
      <w:pPr>
        <w:keepNext w:val="0"/>
        <w:keepLines w:val="0"/>
        <w:pageBreakBefore w:val="0"/>
        <w:widowControl/>
        <w:kinsoku w:val="0"/>
        <w:wordWrap/>
        <w:overflowPunct/>
        <w:topLinePunct w:val="0"/>
        <w:autoSpaceDE w:val="0"/>
        <w:autoSpaceDN w:val="0"/>
        <w:bidi w:val="0"/>
        <w:adjustRightInd w:val="0"/>
        <w:snapToGrid w:val="0"/>
        <w:spacing w:before="65" w:line="360" w:lineRule="auto"/>
        <w:ind w:left="23" w:firstLine="588" w:firstLineChars="200"/>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GB/T 11968-2020   蒸压加气混凝土砌块</w:t>
      </w:r>
    </w:p>
    <w:p w14:paraId="389A0D32">
      <w:pPr>
        <w:keepNext w:val="0"/>
        <w:keepLines w:val="0"/>
        <w:pageBreakBefore w:val="0"/>
        <w:widowControl/>
        <w:kinsoku w:val="0"/>
        <w:wordWrap/>
        <w:overflowPunct/>
        <w:topLinePunct w:val="0"/>
        <w:autoSpaceDE w:val="0"/>
        <w:autoSpaceDN w:val="0"/>
        <w:bidi w:val="0"/>
        <w:adjustRightInd w:val="0"/>
        <w:snapToGrid w:val="0"/>
        <w:spacing w:before="65" w:line="360" w:lineRule="auto"/>
        <w:ind w:left="23" w:firstLine="588" w:firstLineChars="200"/>
        <w:textAlignment w:val="baseline"/>
        <w:rPr>
          <w:rFonts w:hint="eastAsia" w:ascii="宋体" w:hAnsi="宋体" w:eastAsia="宋体" w:cs="宋体"/>
          <w:spacing w:val="7"/>
          <w:sz w:val="28"/>
          <w:szCs w:val="28"/>
        </w:rPr>
      </w:pPr>
      <w:r>
        <w:rPr>
          <w:rFonts w:hint="eastAsia" w:ascii="宋体" w:hAnsi="宋体" w:eastAsia="宋体" w:cs="宋体"/>
          <w:spacing w:val="7"/>
          <w:sz w:val="28"/>
          <w:szCs w:val="28"/>
        </w:rPr>
        <w:t>现行有效的企业标准、团体标准、地方标准及产品明示质量要求</w:t>
      </w:r>
    </w:p>
    <w:p w14:paraId="0B61410A">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宋体" w:hAnsi="宋体" w:eastAsia="宋体" w:cs="宋体"/>
          <w:spacing w:val="5"/>
          <w:sz w:val="28"/>
          <w:szCs w:val="28"/>
        </w:rPr>
      </w:pPr>
      <w:r>
        <w:rPr>
          <w:rFonts w:hint="eastAsia" w:ascii="宋体" w:hAnsi="宋体" w:eastAsia="宋体" w:cs="宋体"/>
          <w:spacing w:val="8"/>
          <w:sz w:val="28"/>
          <w:szCs w:val="28"/>
        </w:rPr>
        <w:t>3</w:t>
      </w:r>
      <w:r>
        <w:rPr>
          <w:rFonts w:hint="eastAsia" w:ascii="宋体" w:hAnsi="宋体" w:eastAsia="宋体" w:cs="宋体"/>
          <w:spacing w:val="5"/>
          <w:sz w:val="28"/>
          <w:szCs w:val="28"/>
        </w:rPr>
        <w:t>.2 判定原则</w:t>
      </w:r>
    </w:p>
    <w:p w14:paraId="6F73503F">
      <w:pPr>
        <w:spacing w:before="1" w:line="228" w:lineRule="auto"/>
        <w:ind w:left="22"/>
        <w:rPr>
          <w:rFonts w:hint="eastAsia" w:ascii="宋体" w:hAnsi="宋体" w:eastAsia="宋体" w:cs="宋体"/>
          <w:spacing w:val="5"/>
          <w:sz w:val="28"/>
          <w:szCs w:val="28"/>
        </w:rPr>
      </w:pPr>
    </w:p>
    <w:p w14:paraId="4674EF16">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经检验，检验项目全部合格，判定为被抽查产品所检项目未发现不合格；检验项目中任一项或一项以上不合格，判定为被抽查产品不合格。</w:t>
      </w:r>
    </w:p>
    <w:p w14:paraId="57554784">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若被检产品明示的质量要求高于本细则中检验项目依据的标准要求时，应按被检产品明示的质量要求判定。</w:t>
      </w:r>
    </w:p>
    <w:p w14:paraId="503A11F0">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若被检产品明示的质量要求低于本细则中检验项目依据的强制性标准要求时，应按照强制性标准要求判定。</w:t>
      </w:r>
    </w:p>
    <w:p w14:paraId="12614B42">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若被检产品明示的质量要求低于或包含本细则中检验项目依据的推荐性标准要求时，应以被检产品明示的质量要求判定。</w:t>
      </w:r>
    </w:p>
    <w:p w14:paraId="2BE1D8B1">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若被检产品明示的质量要求缺少本细则中检验项目依据的强制性标准要求时，应按照强制性标准要求判定。</w:t>
      </w:r>
    </w:p>
    <w:p w14:paraId="1EC26FCF">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若被检产品明示的质量要求缺少本细则中检验项目依据的推荐性标准要求时，该项目不参与判定。</w:t>
      </w:r>
    </w:p>
    <w:p w14:paraId="391816D6">
      <w:pPr>
        <w:spacing w:before="1" w:line="412" w:lineRule="auto"/>
        <w:ind w:left="23" w:right="15" w:firstLine="416"/>
        <w:rPr>
          <w:rFonts w:ascii="宋体" w:hAnsi="宋体" w:eastAsia="宋体" w:cs="宋体"/>
          <w:sz w:val="28"/>
          <w:szCs w:val="28"/>
        </w:rPr>
      </w:pPr>
    </w:p>
    <w:sectPr>
      <w:pgSz w:w="11906" w:h="16839"/>
      <w:pgMar w:top="1431" w:right="1785" w:bottom="1417"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im Sun">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efaultTabStop w:val="50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s>
  <w:rsids>
    <w:rsidRoot w:val="00000000"/>
    <w:rsid w:val="02E144CA"/>
    <w:rsid w:val="04A863DD"/>
    <w:rsid w:val="0C01678A"/>
    <w:rsid w:val="0E602F64"/>
    <w:rsid w:val="12E817B6"/>
    <w:rsid w:val="16B61BE5"/>
    <w:rsid w:val="178C3CF3"/>
    <w:rsid w:val="1B6D1300"/>
    <w:rsid w:val="20A239EE"/>
    <w:rsid w:val="23EA5A62"/>
    <w:rsid w:val="27E078FA"/>
    <w:rsid w:val="2A7879C0"/>
    <w:rsid w:val="2BFC7753"/>
    <w:rsid w:val="2C7E7C57"/>
    <w:rsid w:val="340842AA"/>
    <w:rsid w:val="42C46549"/>
    <w:rsid w:val="470C4453"/>
    <w:rsid w:val="49D31D5A"/>
    <w:rsid w:val="4A0371EB"/>
    <w:rsid w:val="4C7E5A0B"/>
    <w:rsid w:val="4ED11984"/>
    <w:rsid w:val="5D736B83"/>
    <w:rsid w:val="5E07505C"/>
    <w:rsid w:val="62647913"/>
    <w:rsid w:val="6379740E"/>
    <w:rsid w:val="64170FE0"/>
    <w:rsid w:val="654B4171"/>
    <w:rsid w:val="6A2E4A42"/>
    <w:rsid w:val="730569C4"/>
    <w:rsid w:val="733B302B"/>
    <w:rsid w:val="79450B46"/>
    <w:rsid w:val="7DD75DDB"/>
    <w:rsid w:val="7FC425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 w:type="table" w:customStyle="1" w:styleId="5">
    <w:name w:val="Table Normal"/>
    <w:unhideWhenUsed/>
    <w:qFormat/>
    <w:uiPriority w:val="0"/>
    <w:tblPr>
      <w:tblCellMar>
        <w:top w:w="0" w:type="dxa"/>
        <w:left w:w="0" w:type="dxa"/>
        <w:bottom w:w="0" w:type="dxa"/>
        <w:right w:w="0" w:type="dxa"/>
      </w:tblCellMar>
    </w:tblPr>
  </w:style>
  <w:style w:type="paragraph" w:customStyle="1" w:styleId="6">
    <w:name w:val="表格内容"/>
    <w:basedOn w:val="1"/>
    <w:qFormat/>
    <w:uiPriority w:val="0"/>
    <w:pPr>
      <w:snapToGrid w:val="0"/>
      <w:spacing w:line="320" w:lineRule="exact"/>
      <w:jc w:val="center"/>
    </w:pPr>
    <w:rPr>
      <w:rFonts w:ascii="仿宋_GB2312" w:hAnsi="Calibri" w:eastAsia="仿宋_GB2312" w:cs="Sim Sun"/>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640</Words>
  <Characters>725</Characters>
  <TotalTime>2</TotalTime>
  <ScaleCrop>false</ScaleCrop>
  <LinksUpToDate>false</LinksUpToDate>
  <CharactersWithSpaces>745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2022-02-28T15:08:00Z</dcterms:created>
  <dc:creator>hp</dc:creator>
  <cp:lastModifiedBy>我是谁</cp:lastModifiedBy>
  <dcterms:modified xsi:type="dcterms:W3CDTF">2026-04-01T13:39:41Z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2023-02-27T11:14:19Z</vt:filetime>
  </property>
  <property fmtid="{D5CDD505-2E9C-101B-9397-08002B2CF9AE}" pid="4" name="KSOProductBuildVer">
    <vt:lpwstr>2052-12.1.0.25225</vt:lpwstr>
  </property>
  <property fmtid="{D5CDD505-2E9C-101B-9397-08002B2CF9AE}" pid="5" name="ICV">
    <vt:lpwstr>9D9E34AB09B54437B179B8DC0E7D7ABD_13</vt:lpwstr>
  </property>
  <property fmtid="{D5CDD505-2E9C-101B-9397-08002B2CF9AE}" pid="6" name="KSOTemplateDocerSaveRecord">
    <vt:lpwstr>eyJoZGlkIjoiMmY5NjI0MjAwNmY2NTQ2MmUzMzc2Nzc3NWYyOTU2NzgiLCJ1c2VySWQiOiIxMTMwODI2NjcwIn0=</vt:lpwstr>
  </property>
</Properties>
</file>